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3002"/>
        <w:gridCol w:w="2977"/>
        <w:gridCol w:w="3685"/>
        <w:gridCol w:w="3151"/>
      </w:tblGrid>
      <w:tr w:rsidR="00F31E30" w:rsidTr="00424B20">
        <w:trPr>
          <w:cnfStyle w:val="100000000000"/>
        </w:trPr>
        <w:tc>
          <w:tcPr>
            <w:cnfStyle w:val="001000000000"/>
            <w:tcW w:w="14174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31E30" w:rsidRPr="00CC6E49" w:rsidRDefault="00F31E30" w:rsidP="004422E2">
            <w:pPr>
              <w:rPr>
                <w:sz w:val="28"/>
                <w:szCs w:val="28"/>
              </w:rPr>
            </w:pPr>
            <w:r w:rsidRPr="00CC6E49">
              <w:rPr>
                <w:sz w:val="28"/>
                <w:szCs w:val="28"/>
              </w:rPr>
              <w:t xml:space="preserve">SUMMARY </w:t>
            </w:r>
            <w:r w:rsidR="006E4DFC">
              <w:rPr>
                <w:sz w:val="28"/>
                <w:szCs w:val="28"/>
              </w:rPr>
              <w:t>OPPORTUNITIES/OBJECTIVES/</w:t>
            </w:r>
            <w:r w:rsidR="00FD5FEC">
              <w:rPr>
                <w:sz w:val="28"/>
                <w:szCs w:val="28"/>
              </w:rPr>
              <w:t xml:space="preserve">IDEAS FOR </w:t>
            </w:r>
            <w:r w:rsidR="006E4DFC">
              <w:rPr>
                <w:sz w:val="28"/>
                <w:szCs w:val="28"/>
              </w:rPr>
              <w:t xml:space="preserve">POLICY APPROACHES </w:t>
            </w:r>
            <w:r w:rsidRPr="00CC6E49">
              <w:rPr>
                <w:sz w:val="28"/>
                <w:szCs w:val="28"/>
              </w:rPr>
              <w:t xml:space="preserve"> for WINDSOR</w:t>
            </w:r>
            <w:r w:rsidR="005133CD" w:rsidRPr="00CC6E49">
              <w:rPr>
                <w:sz w:val="28"/>
                <w:szCs w:val="28"/>
              </w:rPr>
              <w:t xml:space="preserve">  </w:t>
            </w:r>
            <w:r w:rsidR="006E4DFC" w:rsidRPr="00CC6E49">
              <w:rPr>
                <w:sz w:val="28"/>
                <w:szCs w:val="28"/>
              </w:rPr>
              <w:t>NEIGHBOURHOOD PLAN</w:t>
            </w:r>
          </w:p>
        </w:tc>
      </w:tr>
      <w:tr w:rsidR="00B81AC7" w:rsidTr="00424B20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424B20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6E4DFC" w:rsidRDefault="001D3288" w:rsidP="00424B20">
            <w:pPr>
              <w:pStyle w:val="ListParagraph"/>
              <w:ind w:left="0"/>
              <w:jc w:val="both"/>
              <w:cnfStyle w:val="000000100000"/>
              <w:rPr>
                <w:b/>
              </w:rPr>
            </w:pPr>
            <w:r w:rsidRPr="006E4DFC">
              <w:rPr>
                <w:b/>
              </w:rPr>
              <w:t>Transport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6E4DFC" w:rsidRDefault="001D3288" w:rsidP="00424B20">
            <w:pPr>
              <w:pStyle w:val="ListParagraph"/>
              <w:ind w:left="0"/>
              <w:jc w:val="both"/>
              <w:cnfStyle w:val="000000100000"/>
              <w:rPr>
                <w:b/>
              </w:rPr>
            </w:pPr>
            <w:r w:rsidRPr="006E4DFC">
              <w:rPr>
                <w:b/>
              </w:rPr>
              <w:t>Community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6E4DFC" w:rsidRDefault="001D3288" w:rsidP="00424B20">
            <w:pPr>
              <w:pStyle w:val="ListParagraph"/>
              <w:ind w:left="0"/>
              <w:jc w:val="both"/>
              <w:cnfStyle w:val="000000100000"/>
              <w:rPr>
                <w:b/>
              </w:rPr>
            </w:pPr>
            <w:r w:rsidRPr="006E4DFC">
              <w:rPr>
                <w:b/>
              </w:rPr>
              <w:t>Housing/Heritage/Architecture/Sites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6E4DFC" w:rsidRDefault="001D3288" w:rsidP="00424B20">
            <w:pPr>
              <w:pStyle w:val="ListParagraph"/>
              <w:ind w:left="0"/>
              <w:jc w:val="both"/>
              <w:cnfStyle w:val="000000100000"/>
              <w:rPr>
                <w:b/>
              </w:rPr>
            </w:pPr>
            <w:r w:rsidRPr="006E4DFC">
              <w:rPr>
                <w:b/>
              </w:rPr>
              <w:t>Heritage</w:t>
            </w:r>
          </w:p>
        </w:tc>
      </w:tr>
      <w:tr w:rsidR="00424B20" w:rsidTr="000C6924">
        <w:tc>
          <w:tcPr>
            <w:cnfStyle w:val="001000000000"/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rPr>
                <w:b w:val="0"/>
              </w:rPr>
            </w:pPr>
            <w:r w:rsidRPr="00482F19">
              <w:rPr>
                <w:b w:val="0"/>
              </w:rPr>
              <w:t>Area  2 INNER CENTRAL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Parking policies and </w:t>
            </w:r>
            <w:proofErr w:type="gramStart"/>
            <w:r w:rsidRPr="00482F19">
              <w:t>standards  for</w:t>
            </w:r>
            <w:proofErr w:type="gramEnd"/>
            <w:r w:rsidRPr="00482F19">
              <w:t xml:space="preserve"> new development.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Zone new land for parking?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Facilitate private owners to rent parking spaces.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Default="001D3288" w:rsidP="006F67C6">
            <w:pPr>
              <w:pStyle w:val="NoSpacing"/>
              <w:cnfStyle w:val="000000000000"/>
            </w:pPr>
            <w:r w:rsidRPr="00482F19">
              <w:t xml:space="preserve">New </w:t>
            </w:r>
            <w:proofErr w:type="gramStart"/>
            <w:r w:rsidRPr="00482F19">
              <w:t>signing  of</w:t>
            </w:r>
            <w:proofErr w:type="gramEnd"/>
            <w:r w:rsidRPr="00482F19">
              <w:t xml:space="preserve"> cycle and pedestrian routes to and from the town centre and castle.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cnfStyle w:val="00000000000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Use community </w:t>
            </w:r>
            <w:proofErr w:type="gramStart"/>
            <w:r w:rsidRPr="00482F19">
              <w:t>dividend  (</w:t>
            </w:r>
            <w:proofErr w:type="gramEnd"/>
            <w:r w:rsidRPr="00482F19">
              <w:t>CIL?)</w:t>
            </w:r>
            <w:r w:rsidR="006E4DFC">
              <w:t xml:space="preserve"> </w:t>
            </w:r>
            <w:r w:rsidRPr="00482F19">
              <w:t>to enhance facilities.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cnfStyle w:val="000000000000"/>
            </w:pPr>
            <w:r w:rsidRPr="00482F19">
              <w:rPr>
                <w:rFonts w:ascii="Calibri" w:eastAsia="Calibri" w:hAnsi="Calibri" w:cs="Times New Roman"/>
              </w:rPr>
              <w:t xml:space="preserve">Development which removes or degrades community facilities will identify the means for their </w:t>
            </w:r>
            <w:proofErr w:type="gramStart"/>
            <w:r w:rsidRPr="00482F19">
              <w:rPr>
                <w:rFonts w:ascii="Calibri" w:eastAsia="Calibri" w:hAnsi="Calibri" w:cs="Times New Roman"/>
              </w:rPr>
              <w:t>replacement  and</w:t>
            </w:r>
            <w:proofErr w:type="gramEnd"/>
            <w:r w:rsidRPr="00482F19">
              <w:rPr>
                <w:rFonts w:ascii="Calibri" w:eastAsia="Calibri" w:hAnsi="Calibri" w:cs="Times New Roman"/>
              </w:rPr>
              <w:t>/or restitution.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Design policies for development in this area and for specific identified sites such as the Police Station and the Business Quarter site if possible.   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Developers to consult on design policies where there are none in place for the site they wish to develop to prevent over or inappropriate development.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Promote the importance of greenery and include tree preservation and landscaping in design briefs.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Standards for amenities such as drying and bin areas and outside space.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Policies covering massing spacing and placing of buildings in relation to their surroundings so that they enhance the character of the area.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Identify buildings, areas and spaces which detract from the character of the area and plan to enhance these when opportunities arise </w:t>
            </w:r>
            <w:proofErr w:type="spellStart"/>
            <w:r w:rsidRPr="00482F19">
              <w:t>eg</w:t>
            </w:r>
            <w:proofErr w:type="spellEnd"/>
            <w:r w:rsidRPr="00482F19">
              <w:t xml:space="preserve"> Ward Royal perimeter.</w:t>
            </w:r>
          </w:p>
          <w:p w:rsidR="001D3288" w:rsidRPr="00482F19" w:rsidRDefault="001D3288" w:rsidP="006F67C6">
            <w:pPr>
              <w:cnfStyle w:val="000000000000"/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Design policies for all development in this area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Strengthen conservation area policies.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>New conservation area covering Vansittart Road and surrounding areas as shown on the accompanying map.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Clear endorsement of Townscape Assessment  guidance in NP 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  <w:r w:rsidRPr="00482F19">
              <w:t xml:space="preserve">Guidance for householders to encourage the preservation of heritage. </w:t>
            </w: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pStyle w:val="NoSpacing"/>
              <w:cnfStyle w:val="000000000000"/>
            </w:pPr>
          </w:p>
          <w:p w:rsidR="001D3288" w:rsidRPr="00482F19" w:rsidRDefault="001D3288" w:rsidP="006F67C6">
            <w:pPr>
              <w:cnfStyle w:val="000000000000"/>
            </w:pPr>
          </w:p>
        </w:tc>
      </w:tr>
      <w:tr w:rsidR="00B81AC7" w:rsidTr="000C6924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</w:tr>
      <w:tr w:rsidR="00424B20" w:rsidTr="000C6924">
        <w:tc>
          <w:tcPr>
            <w:cnfStyle w:val="001000000000"/>
            <w:tcW w:w="1359" w:type="dxa"/>
            <w:tcBorders>
              <w:bottom w:val="single" w:sz="4" w:space="0" w:color="auto"/>
            </w:tcBorders>
          </w:tcPr>
          <w:p w:rsidR="001D3288" w:rsidRPr="00482F19" w:rsidRDefault="001D3288" w:rsidP="006F67C6">
            <w:pPr>
              <w:rPr>
                <w:b w:val="0"/>
              </w:rPr>
            </w:pPr>
            <w:r w:rsidRPr="00482F19">
              <w:rPr>
                <w:b w:val="0"/>
              </w:rPr>
              <w:t xml:space="preserve">AREA1 </w:t>
            </w:r>
            <w:r w:rsidRPr="00482F19">
              <w:rPr>
                <w:b w:val="0"/>
              </w:rPr>
              <w:lastRenderedPageBreak/>
              <w:t xml:space="preserve">Southern Central  </w:t>
            </w:r>
            <w:proofErr w:type="spellStart"/>
            <w:r w:rsidRPr="00482F19">
              <w:rPr>
                <w:b w:val="0"/>
              </w:rPr>
              <w:t>Boltons</w:t>
            </w:r>
            <w:proofErr w:type="spellEnd"/>
            <w:r w:rsidRPr="00482F19">
              <w:rPr>
                <w:b w:val="0"/>
              </w:rPr>
              <w:t xml:space="preserve"> etc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lastRenderedPageBreak/>
              <w:t xml:space="preserve">Ne w cycle path through the </w:t>
            </w:r>
            <w:r w:rsidRPr="00482F19">
              <w:rPr>
                <w:sz w:val="20"/>
                <w:szCs w:val="20"/>
              </w:rPr>
              <w:lastRenderedPageBreak/>
              <w:t>Great Park To/From Ascot?</w:t>
            </w:r>
          </w:p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Improvements to other cycle routes. Higher on site parking standards for new developments.</w:t>
            </w:r>
          </w:p>
          <w:p w:rsidR="001D3288" w:rsidRPr="00482F19" w:rsidRDefault="001D3288" w:rsidP="006F67C6">
            <w:pPr>
              <w:cnfStyle w:val="000000000000"/>
            </w:pPr>
            <w:r w:rsidRPr="00482F19">
              <w:rPr>
                <w:sz w:val="20"/>
                <w:szCs w:val="20"/>
              </w:rPr>
              <w:t>More car parks in Great Park?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3288" w:rsidRPr="00482F19" w:rsidRDefault="001D3288" w:rsidP="006F67C6">
            <w:pPr>
              <w:cnfStyle w:val="000000000000"/>
            </w:pPr>
            <w:r w:rsidRPr="00482F19">
              <w:rPr>
                <w:sz w:val="20"/>
                <w:szCs w:val="20"/>
              </w:rPr>
              <w:lastRenderedPageBreak/>
              <w:t xml:space="preserve">Something to protect community </w:t>
            </w:r>
            <w:proofErr w:type="gramStart"/>
            <w:r w:rsidRPr="00482F19">
              <w:rPr>
                <w:sz w:val="20"/>
                <w:szCs w:val="20"/>
              </w:rPr>
              <w:lastRenderedPageBreak/>
              <w:t>facilities</w:t>
            </w:r>
            <w:r w:rsidR="003510D9">
              <w:rPr>
                <w:sz w:val="20"/>
                <w:szCs w:val="20"/>
              </w:rPr>
              <w:t xml:space="preserve"> </w:t>
            </w:r>
            <w:r w:rsidRPr="00482F19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E4DFC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lastRenderedPageBreak/>
              <w:t>Policy on infill</w:t>
            </w:r>
            <w:r w:rsidR="003510D9">
              <w:rPr>
                <w:sz w:val="20"/>
                <w:szCs w:val="20"/>
              </w:rPr>
              <w:t xml:space="preserve"> developments</w:t>
            </w:r>
            <w:proofErr w:type="gramStart"/>
            <w:r w:rsidR="003510D9">
              <w:rPr>
                <w:sz w:val="20"/>
                <w:szCs w:val="20"/>
              </w:rPr>
              <w:t>?</w:t>
            </w:r>
            <w:r w:rsidRPr="00482F19">
              <w:rPr>
                <w:sz w:val="20"/>
                <w:szCs w:val="20"/>
              </w:rPr>
              <w:t>.</w:t>
            </w:r>
            <w:proofErr w:type="gramEnd"/>
            <w:r w:rsidRPr="00482F19">
              <w:rPr>
                <w:sz w:val="20"/>
                <w:szCs w:val="20"/>
              </w:rPr>
              <w:t xml:space="preserve"> </w:t>
            </w:r>
          </w:p>
          <w:p w:rsidR="006E4DFC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lastRenderedPageBreak/>
              <w:t xml:space="preserve">Possible need for something to protect gardens? </w:t>
            </w:r>
          </w:p>
          <w:p w:rsidR="006E4DFC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 xml:space="preserve">Character/Density/height limits. </w:t>
            </w:r>
          </w:p>
          <w:p w:rsidR="006E4DFC" w:rsidRDefault="006E4DFC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street trees.</w:t>
            </w:r>
          </w:p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Trees &amp; fences &amp;landscaping provisions/planted boundaries.</w:t>
            </w:r>
          </w:p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 xml:space="preserve">Developers can develop provided </w:t>
            </w:r>
            <w:r w:rsidR="006E4DFC">
              <w:rPr>
                <w:sz w:val="20"/>
                <w:szCs w:val="20"/>
              </w:rPr>
              <w:t>s</w:t>
            </w:r>
            <w:r w:rsidRPr="00482F19">
              <w:rPr>
                <w:sz w:val="20"/>
                <w:szCs w:val="20"/>
              </w:rPr>
              <w:t>pecial views in/out not obstructed</w:t>
            </w:r>
            <w:proofErr w:type="gramStart"/>
            <w:r w:rsidRPr="00482F19">
              <w:rPr>
                <w:sz w:val="20"/>
                <w:szCs w:val="20"/>
              </w:rPr>
              <w:t>.</w:t>
            </w:r>
            <w:r w:rsidR="006E4DF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E4DFC">
              <w:rPr>
                <w:sz w:val="20"/>
                <w:szCs w:val="20"/>
              </w:rPr>
              <w:t>e.g.Osborne</w:t>
            </w:r>
            <w:proofErr w:type="spellEnd"/>
            <w:r w:rsidR="006E4DFC">
              <w:rPr>
                <w:sz w:val="20"/>
                <w:szCs w:val="20"/>
              </w:rPr>
              <w:t xml:space="preserve"> Road across to the Castle through Chaucer Close).</w:t>
            </w:r>
          </w:p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Design/building lines.</w:t>
            </w:r>
          </w:p>
          <w:p w:rsidR="001D3288" w:rsidRPr="00482F19" w:rsidRDefault="001D3288" w:rsidP="006F67C6">
            <w:pPr>
              <w:cnfStyle w:val="000000000000"/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proofErr w:type="gramStart"/>
            <w:r w:rsidRPr="00482F19">
              <w:rPr>
                <w:sz w:val="20"/>
                <w:szCs w:val="20"/>
              </w:rPr>
              <w:lastRenderedPageBreak/>
              <w:t>Put  on</w:t>
            </w:r>
            <w:proofErr w:type="gramEnd"/>
            <w:r w:rsidRPr="00482F19">
              <w:rPr>
                <w:sz w:val="20"/>
                <w:szCs w:val="20"/>
              </w:rPr>
              <w:t xml:space="preserve"> a  Non listed heritage asset </w:t>
            </w:r>
            <w:r w:rsidRPr="00482F19">
              <w:rPr>
                <w:sz w:val="20"/>
                <w:szCs w:val="20"/>
              </w:rPr>
              <w:lastRenderedPageBreak/>
              <w:t>list create with help from RBWM. Ask for nominations for list.</w:t>
            </w:r>
          </w:p>
          <w:p w:rsidR="001D3288" w:rsidRPr="00482F19" w:rsidRDefault="001D3288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Extend Conservation Area to cover Essex Lodge &amp; Coach House (In process by Conservation Officers).</w:t>
            </w:r>
          </w:p>
          <w:p w:rsidR="001D3288" w:rsidRPr="00482F19" w:rsidRDefault="001D3288" w:rsidP="006F67C6">
            <w:pPr>
              <w:cnfStyle w:val="000000000000"/>
            </w:pPr>
            <w:r w:rsidRPr="00482F19">
              <w:rPr>
                <w:sz w:val="20"/>
                <w:szCs w:val="20"/>
              </w:rPr>
              <w:t>Redevelopments/extensions to enhance heritage features.</w:t>
            </w:r>
          </w:p>
        </w:tc>
      </w:tr>
      <w:tr w:rsidR="00B81AC7" w:rsidTr="000C6924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1D3288" w:rsidRPr="00482F19" w:rsidRDefault="001D3288" w:rsidP="006F67C6">
            <w:pPr>
              <w:cnfStyle w:val="000000100000"/>
            </w:pPr>
          </w:p>
        </w:tc>
      </w:tr>
      <w:tr w:rsidR="002F5605" w:rsidTr="004422E2">
        <w:tc>
          <w:tcPr>
            <w:cnfStyle w:val="001000000000"/>
            <w:tcW w:w="1359" w:type="dxa"/>
            <w:tcBorders>
              <w:bottom w:val="single" w:sz="4" w:space="0" w:color="auto"/>
            </w:tcBorders>
          </w:tcPr>
          <w:p w:rsidR="002F5605" w:rsidRPr="007D3484" w:rsidRDefault="002F5605" w:rsidP="004A17DF">
            <w:pPr>
              <w:rPr>
                <w:b w:val="0"/>
              </w:rPr>
            </w:pPr>
            <w:r>
              <w:rPr>
                <w:b w:val="0"/>
              </w:rPr>
              <w:t xml:space="preserve">Area 3 </w:t>
            </w:r>
            <w:proofErr w:type="spellStart"/>
            <w:r>
              <w:rPr>
                <w:b w:val="0"/>
              </w:rPr>
              <w:t>Clewer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 xml:space="preserve">Request a minimum of 2x car parking spaces for residential units on </w:t>
            </w:r>
            <w:r w:rsidRPr="002F5605">
              <w:rPr>
                <w:bCs/>
                <w:i/>
                <w:iCs/>
                <w:u w:val="single"/>
              </w:rPr>
              <w:t>all</w:t>
            </w:r>
            <w:r w:rsidRPr="002F5605">
              <w:rPr>
                <w:bCs/>
              </w:rPr>
              <w:t xml:space="preserve"> new residential developments</w:t>
            </w:r>
          </w:p>
          <w:p w:rsidR="002F5605" w:rsidRPr="002F5605" w:rsidRDefault="002F5605" w:rsidP="004A17DF">
            <w:pPr>
              <w:cnfStyle w:val="00000000000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5605" w:rsidRPr="002F5605" w:rsidRDefault="002F5605" w:rsidP="004A17DF">
            <w:pPr>
              <w:autoSpaceDE w:val="0"/>
              <w:autoSpaceDN w:val="0"/>
              <w:cnfStyle w:val="00000000000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</w:pPr>
            <w:r w:rsidRPr="002F5605">
              <w:rPr>
                <w:bCs/>
              </w:rPr>
              <w:t>BLP / WNP Policies on design and character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</w:pPr>
            <w:r w:rsidRPr="002F5605">
              <w:rPr>
                <w:bCs/>
              </w:rPr>
              <w:t>Local listing</w:t>
            </w:r>
          </w:p>
        </w:tc>
      </w:tr>
      <w:tr w:rsidR="002F5605" w:rsidTr="004422E2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</w:tr>
      <w:tr w:rsidR="002F5605" w:rsidTr="004422E2">
        <w:tc>
          <w:tcPr>
            <w:cnfStyle w:val="001000000000"/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rPr>
                <w:b w:val="0"/>
              </w:rPr>
            </w:pPr>
            <w:r w:rsidRPr="00482F19">
              <w:rPr>
                <w:b w:val="0"/>
              </w:rPr>
              <w:t xml:space="preserve">Area 4 St Leonards Hill, Illingworth, </w:t>
            </w:r>
            <w:proofErr w:type="spellStart"/>
            <w:r w:rsidRPr="00482F19">
              <w:rPr>
                <w:b w:val="0"/>
              </w:rPr>
              <w:t>Winkfield</w:t>
            </w:r>
            <w:proofErr w:type="spellEnd"/>
            <w:r w:rsidRPr="00482F19">
              <w:rPr>
                <w:b w:val="0"/>
              </w:rPr>
              <w:t xml:space="preserve"> Road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82F19">
              <w:rPr>
                <w:sz w:val="20"/>
                <w:szCs w:val="20"/>
              </w:rPr>
              <w:t xml:space="preserve">apacity numbers placed on </w:t>
            </w:r>
            <w:proofErr w:type="spellStart"/>
            <w:r w:rsidRPr="00482F19">
              <w:rPr>
                <w:sz w:val="20"/>
                <w:szCs w:val="20"/>
              </w:rPr>
              <w:t>Legoland</w:t>
            </w:r>
            <w:proofErr w:type="spellEnd"/>
            <w:r w:rsidRPr="00482F19">
              <w:rPr>
                <w:sz w:val="20"/>
                <w:szCs w:val="20"/>
              </w:rPr>
              <w:t xml:space="preserve"> in line with road capacity.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 xml:space="preserve">Create bus stop </w:t>
            </w:r>
            <w:proofErr w:type="spellStart"/>
            <w:r w:rsidRPr="00482F19">
              <w:rPr>
                <w:sz w:val="20"/>
                <w:szCs w:val="20"/>
              </w:rPr>
              <w:t>laybys</w:t>
            </w:r>
            <w:proofErr w:type="spellEnd"/>
            <w:r w:rsidRPr="00482F19">
              <w:rPr>
                <w:sz w:val="20"/>
                <w:szCs w:val="20"/>
              </w:rPr>
              <w:t xml:space="preserve"> so that traffic is not held up.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Ensure the bus companies co-ordinate timetables.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Have both bus services stopping at all bus stops.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Preserve existing byways and paths and ensure accessible to Amsterdam bike users as well as wheelchair users.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lastRenderedPageBreak/>
              <w:t xml:space="preserve">Reintroduce lorry ban and take steps to ensure enforced. 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Take steps to solve pinch point at WR/CHR/SLR/IR which could include compulsory purchasing properties to create suitable junction or imposing no turns at peak times – but would this be enforceable?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 xml:space="preserve">Move 30mph speed restriction on W Rd back nearer </w:t>
            </w:r>
            <w:proofErr w:type="spellStart"/>
            <w:r w:rsidRPr="00482F19">
              <w:rPr>
                <w:sz w:val="20"/>
                <w:szCs w:val="20"/>
              </w:rPr>
              <w:t>Legoland</w:t>
            </w:r>
            <w:proofErr w:type="spellEnd"/>
            <w:r w:rsidRPr="00482F19">
              <w:rPr>
                <w:sz w:val="20"/>
                <w:szCs w:val="20"/>
              </w:rPr>
              <w:t xml:space="preserve">, thus making it easier for residents to exit safely onto W Rd. 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Create roundabout at entrance to St LH thus making it easier for residents to enter and exit, slowing traffic ow</w:t>
            </w:r>
            <w:r>
              <w:rPr>
                <w:sz w:val="20"/>
                <w:szCs w:val="20"/>
              </w:rPr>
              <w:t>n and creat</w:t>
            </w:r>
            <w:r w:rsidRPr="00482F19">
              <w:rPr>
                <w:sz w:val="20"/>
                <w:szCs w:val="20"/>
              </w:rPr>
              <w:t xml:space="preserve">ing “pulse points” for pedestrians to cross the rad. 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Reduce W Rd signage to essentials and regularly cut back foliage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Further developments with the WNP area only permitted if not add to AQMA problem or to traffic flow on W Rd in both directions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 xml:space="preserve">Texaco garage site convert part to bus </w:t>
            </w:r>
            <w:proofErr w:type="spellStart"/>
            <w:r w:rsidRPr="00482F19">
              <w:rPr>
                <w:sz w:val="20"/>
                <w:szCs w:val="20"/>
              </w:rPr>
              <w:t>layby</w:t>
            </w:r>
            <w:proofErr w:type="spellEnd"/>
            <w:r w:rsidRPr="00482F19">
              <w:rPr>
                <w:sz w:val="20"/>
                <w:szCs w:val="20"/>
              </w:rPr>
              <w:t xml:space="preserve"> to replace Ascot bound </w:t>
            </w:r>
            <w:proofErr w:type="spellStart"/>
            <w:r w:rsidRPr="00482F19">
              <w:rPr>
                <w:sz w:val="20"/>
                <w:szCs w:val="20"/>
              </w:rPr>
              <w:t>layby</w:t>
            </w:r>
            <w:proofErr w:type="spellEnd"/>
            <w:r w:rsidRPr="00482F19">
              <w:rPr>
                <w:sz w:val="20"/>
                <w:szCs w:val="20"/>
              </w:rPr>
              <w:t xml:space="preserve"> on W Rd thus improving </w:t>
            </w:r>
            <w:r w:rsidRPr="00482F19">
              <w:rPr>
                <w:sz w:val="20"/>
                <w:szCs w:val="20"/>
              </w:rPr>
              <w:lastRenderedPageBreak/>
              <w:t>traffic flow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Create better cycle routes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Pavements required BOTH sides of W Rd up to bus stop located nearly opposite SLH</w:t>
            </w: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000000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 w:rsidRPr="00482F19">
              <w:rPr>
                <w:sz w:val="20"/>
                <w:szCs w:val="20"/>
              </w:rPr>
              <w:t>Need to protect open character of front gardens</w:t>
            </w:r>
            <w:r>
              <w:rPr>
                <w:sz w:val="20"/>
                <w:szCs w:val="20"/>
              </w:rPr>
              <w:t xml:space="preserve"> (in Illingworth),</w:t>
            </w:r>
            <w:r w:rsidRPr="00482F19">
              <w:rPr>
                <w:sz w:val="20"/>
                <w:szCs w:val="20"/>
              </w:rPr>
              <w:t xml:space="preserve"> and houses with whole or partial brick external in Ill and outward appearance of two floor buildings </w:t>
            </w:r>
            <w:proofErr w:type="spellStart"/>
            <w:r w:rsidRPr="00482F19">
              <w:rPr>
                <w:sz w:val="20"/>
                <w:szCs w:val="20"/>
              </w:rPr>
              <w:t>ie</w:t>
            </w:r>
            <w:proofErr w:type="spellEnd"/>
            <w:r w:rsidRPr="00482F19">
              <w:rPr>
                <w:sz w:val="20"/>
                <w:szCs w:val="20"/>
              </w:rPr>
              <w:t xml:space="preserve"> no </w:t>
            </w:r>
            <w:proofErr w:type="spellStart"/>
            <w:r w:rsidRPr="00482F19">
              <w:rPr>
                <w:sz w:val="20"/>
                <w:szCs w:val="20"/>
              </w:rPr>
              <w:t>dorma</w:t>
            </w:r>
            <w:proofErr w:type="spellEnd"/>
            <w:r w:rsidRPr="00482F19">
              <w:rPr>
                <w:sz w:val="20"/>
                <w:szCs w:val="20"/>
              </w:rPr>
              <w:t xml:space="preserve"> window in the roof</w:t>
            </w:r>
            <w:r>
              <w:rPr>
                <w:sz w:val="20"/>
                <w:szCs w:val="20"/>
              </w:rPr>
              <w:t>.</w:t>
            </w:r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482F19" w:rsidRDefault="002F5605" w:rsidP="006F67C6">
            <w:pPr>
              <w:cnfStyle w:val="000000000000"/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000000"/>
            </w:pPr>
          </w:p>
        </w:tc>
      </w:tr>
      <w:tr w:rsidR="002F5605" w:rsidTr="004422E2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rPr>
                <w:b w:val="0"/>
              </w:rPr>
            </w:pPr>
            <w:r w:rsidRPr="00482F19">
              <w:rPr>
                <w:b w:val="0"/>
              </w:rPr>
              <w:t xml:space="preserve"> Area 5 –Western Outer suburbs (</w:t>
            </w:r>
            <w:proofErr w:type="spellStart"/>
            <w:r w:rsidRPr="00482F19">
              <w:rPr>
                <w:b w:val="0"/>
              </w:rPr>
              <w:t>Dedworth</w:t>
            </w:r>
            <w:proofErr w:type="spellEnd"/>
            <w:r w:rsidRPr="00482F19">
              <w:rPr>
                <w:b w:val="0"/>
              </w:rPr>
              <w:t xml:space="preserve"> a. Vale Road to Smiths Lane  b. Smiths Lane to </w:t>
            </w:r>
            <w:proofErr w:type="spellStart"/>
            <w:r w:rsidRPr="00482F19">
              <w:rPr>
                <w:b w:val="0"/>
              </w:rPr>
              <w:t>Ruddlesway</w:t>
            </w:r>
            <w:proofErr w:type="spellEnd"/>
            <w:r w:rsidRPr="00482F19">
              <w:rPr>
                <w:b w:val="0"/>
              </w:rPr>
              <w:t xml:space="preserve"> c. Tinkers Lane to </w:t>
            </w:r>
            <w:proofErr w:type="spellStart"/>
            <w:r w:rsidRPr="00482F19">
              <w:rPr>
                <w:b w:val="0"/>
              </w:rPr>
              <w:t>Kentons</w:t>
            </w:r>
            <w:proofErr w:type="spellEnd"/>
            <w:r w:rsidRPr="00482F19">
              <w:rPr>
                <w:b w:val="0"/>
              </w:rPr>
              <w:t xml:space="preserve"> Lane)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New 30 mph speed limit on A308, ease of Smiths Lane.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 xml:space="preserve">Provision of new cycle route to east side of Queen Elizabeth Way (WERR) via Shirley Avenue, Memorial Ground, St Edwards’s car park, Parsonage Lane, Rectory Close and </w:t>
            </w:r>
            <w:proofErr w:type="spellStart"/>
            <w:r w:rsidRPr="00A621C3">
              <w:rPr>
                <w:sz w:val="20"/>
                <w:szCs w:val="20"/>
              </w:rPr>
              <w:t>Helston</w:t>
            </w:r>
            <w:proofErr w:type="spellEnd"/>
            <w:r w:rsidRPr="00A621C3">
              <w:rPr>
                <w:sz w:val="20"/>
                <w:szCs w:val="20"/>
              </w:rPr>
              <w:t xml:space="preserve"> Lane, to the pedestrian underpass at the Clarence Road Roundabout.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 xml:space="preserve">Additional parking at the Memorial Ground, </w:t>
            </w:r>
            <w:proofErr w:type="spellStart"/>
            <w:r w:rsidRPr="00A621C3">
              <w:rPr>
                <w:sz w:val="20"/>
                <w:szCs w:val="20"/>
              </w:rPr>
              <w:t>Dedworth</w:t>
            </w:r>
            <w:proofErr w:type="spellEnd"/>
            <w:r w:rsidRPr="00A621C3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Confirm the designation of Tesco as a food retail site.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Identify the site for an additional medical centre.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Relocate the use of the Smiths Lane Clinic elsewhere (the Manor Youth Centre, perhaps) and redevelop the site for housing.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Restrictions on infill development in gardens.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Work with Radian to identify ways in which NP might contribute to improvements at Sawyers Close and at other social housing locations, if appropriate.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Identify provisions that would apply to potential future development of Sawyers Close.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Requirement to maintain open gardens on the Laing Estate.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Detailed tree schedule to preserve specific trees.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Policy requirement regarding parking provision</w:t>
            </w:r>
          </w:p>
          <w:p w:rsidR="002F5605" w:rsidRPr="00B032EC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 xml:space="preserve">Provision of controlled parking bays on </w:t>
            </w:r>
            <w:proofErr w:type="spellStart"/>
            <w:r w:rsidRPr="00A621C3">
              <w:rPr>
                <w:sz w:val="20"/>
                <w:szCs w:val="20"/>
              </w:rPr>
              <w:t>Dedworth</w:t>
            </w:r>
            <w:proofErr w:type="spellEnd"/>
            <w:r w:rsidRPr="00A621C3">
              <w:rPr>
                <w:sz w:val="20"/>
                <w:szCs w:val="20"/>
              </w:rPr>
              <w:t xml:space="preserve"> Manor</w:t>
            </w: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72176E" w:rsidRDefault="002F5605" w:rsidP="00A621C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A621C3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A621C3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A621C3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</w:tr>
      <w:tr w:rsidR="002F5605" w:rsidTr="00424B20"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rPr>
                <w:b w:val="0"/>
              </w:rPr>
            </w:pPr>
            <w:r w:rsidRPr="00482F19">
              <w:rPr>
                <w:b w:val="0"/>
              </w:rPr>
              <w:t xml:space="preserve">Area 6. Green belt north of West Windsor </w:t>
            </w:r>
            <w:r w:rsidRPr="00482F19">
              <w:rPr>
                <w:b w:val="0"/>
              </w:rPr>
              <w:lastRenderedPageBreak/>
              <w:t xml:space="preserve">(Racecourse, Sutherland grange, </w:t>
            </w:r>
            <w:proofErr w:type="spellStart"/>
            <w:r w:rsidRPr="00482F19">
              <w:rPr>
                <w:b w:val="0"/>
              </w:rPr>
              <w:t>Clewer</w:t>
            </w:r>
            <w:proofErr w:type="spellEnd"/>
            <w:r w:rsidRPr="00482F19">
              <w:rPr>
                <w:b w:val="0"/>
              </w:rPr>
              <w:t xml:space="preserve"> park, Centrica)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Provision of a pedestrian / cycle access across the river at Sutherland Grange</w:t>
            </w:r>
          </w:p>
          <w:p w:rsidR="002F5605" w:rsidRDefault="002F5605" w:rsidP="00A621C3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A621C3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A621C3">
            <w:pPr>
              <w:cnfStyle w:val="000000000000"/>
              <w:rPr>
                <w:sz w:val="20"/>
                <w:szCs w:val="20"/>
              </w:rPr>
            </w:pPr>
          </w:p>
          <w:p w:rsidR="002F5605" w:rsidRPr="0072176E" w:rsidRDefault="002F5605" w:rsidP="00A621C3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Prevention of inappropriate development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Prevention of inappropriate development</w:t>
            </w:r>
          </w:p>
        </w:tc>
      </w:tr>
      <w:tr w:rsidR="002F5605" w:rsidTr="004422E2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rPr>
                <w:b w:val="0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cnfStyle w:val="00000010000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cnfStyle w:val="000000100000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924AFB" w:rsidRDefault="002F5605" w:rsidP="000D22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924AFB" w:rsidRDefault="002F5605" w:rsidP="000D22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F5605" w:rsidTr="004422E2"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rPr>
                <w:b w:val="0"/>
              </w:rPr>
            </w:pPr>
            <w:r w:rsidRPr="00482F19">
              <w:rPr>
                <w:b w:val="0"/>
              </w:rPr>
              <w:t xml:space="preserve">Area 7  Great park Area south of Windsor (between Sheet St Rd &amp; </w:t>
            </w:r>
            <w:proofErr w:type="spellStart"/>
            <w:r w:rsidRPr="00482F19">
              <w:rPr>
                <w:b w:val="0"/>
              </w:rPr>
              <w:t>Winkfield</w:t>
            </w:r>
            <w:proofErr w:type="spellEnd"/>
            <w:r w:rsidRPr="00482F19">
              <w:rPr>
                <w:b w:val="0"/>
              </w:rPr>
              <w:t xml:space="preserve"> Rd)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Default="002F5605" w:rsidP="000D2214">
            <w:pPr>
              <w:cnfStyle w:val="000000000000"/>
              <w:rPr>
                <w:sz w:val="20"/>
                <w:szCs w:val="20"/>
              </w:rPr>
            </w:pPr>
            <w:r w:rsidRPr="00924AFB">
              <w:rPr>
                <w:sz w:val="20"/>
                <w:szCs w:val="20"/>
              </w:rPr>
              <w:t>New cycle paths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along side</w:t>
            </w:r>
            <w:proofErr w:type="spellEnd"/>
            <w:r>
              <w:rPr>
                <w:sz w:val="20"/>
                <w:szCs w:val="20"/>
              </w:rPr>
              <w:t xml:space="preserve"> main roads to/from A</w:t>
            </w:r>
            <w:r w:rsidRPr="00924AFB">
              <w:rPr>
                <w:sz w:val="20"/>
                <w:szCs w:val="20"/>
              </w:rPr>
              <w:t>scot.</w:t>
            </w:r>
          </w:p>
          <w:p w:rsidR="002F5605" w:rsidRDefault="002F5605" w:rsidP="000D221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new cycle path from </w:t>
            </w:r>
            <w:proofErr w:type="spellStart"/>
            <w:r>
              <w:rPr>
                <w:sz w:val="20"/>
                <w:szCs w:val="20"/>
              </w:rPr>
              <w:t>Winkfield</w:t>
            </w:r>
            <w:proofErr w:type="spellEnd"/>
            <w:r>
              <w:rPr>
                <w:sz w:val="20"/>
                <w:szCs w:val="20"/>
              </w:rPr>
              <w:t xml:space="preserve"> Road across to public areas.</w:t>
            </w:r>
          </w:p>
          <w:p w:rsidR="002F5605" w:rsidRPr="00482F19" w:rsidRDefault="002F5605" w:rsidP="000D2214">
            <w:pPr>
              <w:cnfStyle w:val="00000000000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0D2214">
            <w:pPr>
              <w:cnfStyle w:val="000000000000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924AFB" w:rsidRDefault="002F5605" w:rsidP="000D221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new developments to be in keeping with Park architecture and vernacular design. ( Local Red brick, Victorian architecture)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924AFB" w:rsidRDefault="002F5605" w:rsidP="000D2214">
            <w:pPr>
              <w:cnfStyle w:val="000000000000"/>
              <w:rPr>
                <w:sz w:val="20"/>
                <w:szCs w:val="20"/>
              </w:rPr>
            </w:pPr>
            <w:r w:rsidRPr="00924AFB">
              <w:rPr>
                <w:sz w:val="20"/>
                <w:szCs w:val="20"/>
              </w:rPr>
              <w:t>Policy on heritage/design of any new crown housing.</w:t>
            </w:r>
          </w:p>
        </w:tc>
      </w:tr>
      <w:tr w:rsidR="002F5605" w:rsidTr="004422E2">
        <w:trPr>
          <w:cnfStyle w:val="000000100000"/>
        </w:trPr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4422E2"/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4422E2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4422E2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4422E2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422E2" w:rsidRDefault="002F5605" w:rsidP="004422E2">
            <w:pPr>
              <w:ind w:left="34"/>
              <w:cnfStyle w:val="000000100000"/>
              <w:rPr>
                <w:sz w:val="20"/>
                <w:szCs w:val="20"/>
              </w:rPr>
            </w:pPr>
          </w:p>
        </w:tc>
      </w:tr>
      <w:tr w:rsidR="002F5605" w:rsidTr="00424B20">
        <w:tc>
          <w:tcPr>
            <w:cnfStyle w:val="001000000000"/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482F19" w:rsidRDefault="002F5605" w:rsidP="006F67C6">
            <w:pPr>
              <w:tabs>
                <w:tab w:val="left" w:pos="1275"/>
              </w:tabs>
              <w:rPr>
                <w:b w:val="0"/>
              </w:rPr>
            </w:pPr>
            <w:r w:rsidRPr="00482F19">
              <w:rPr>
                <w:b w:val="0"/>
              </w:rPr>
              <w:t xml:space="preserve"> Area 8-Legoland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plan for entrance roundabout/road layout.</w:t>
            </w:r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Signage. </w:t>
            </w:r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transport conditions on any new development</w:t>
            </w:r>
            <w:r w:rsidR="00434648">
              <w:rPr>
                <w:sz w:val="20"/>
                <w:szCs w:val="20"/>
              </w:rPr>
              <w:t>?</w:t>
            </w:r>
            <w:r w:rsidR="001D1B4E">
              <w:rPr>
                <w:sz w:val="20"/>
                <w:szCs w:val="20"/>
              </w:rPr>
              <w:t xml:space="preserve"> (covered under BLP?)</w:t>
            </w:r>
            <w:r>
              <w:rPr>
                <w:sz w:val="20"/>
                <w:szCs w:val="20"/>
              </w:rPr>
              <w:t xml:space="preserve">   </w:t>
            </w:r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policies on green design-to limit impact of any development, e.g. green design, green roofs. Ensure lots of screening with vegetation. </w:t>
            </w:r>
            <w:proofErr w:type="gramStart"/>
            <w:r>
              <w:rPr>
                <w:sz w:val="20"/>
                <w:szCs w:val="20"/>
              </w:rPr>
              <w:t>Etc .</w:t>
            </w:r>
            <w:proofErr w:type="gramEnd"/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Preserve views in from the Great Park so that no buildings can be seen. .</w:t>
            </w:r>
          </w:p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view of the mansion from the distance across the Great Park</w:t>
            </w:r>
          </w:p>
        </w:tc>
      </w:tr>
    </w:tbl>
    <w:p w:rsidR="003635D5" w:rsidRDefault="003635D5"/>
    <w:p w:rsidR="005133CD" w:rsidRDefault="005133CD"/>
    <w:p w:rsidR="005133CD" w:rsidRDefault="005133CD"/>
    <w:tbl>
      <w:tblPr>
        <w:tblStyle w:val="LightShading-Accent1"/>
        <w:tblW w:w="0" w:type="auto"/>
        <w:tblLook w:val="04A0"/>
      </w:tblPr>
      <w:tblGrid>
        <w:gridCol w:w="1898"/>
        <w:gridCol w:w="3639"/>
        <w:gridCol w:w="2879"/>
        <w:gridCol w:w="2879"/>
        <w:gridCol w:w="2879"/>
      </w:tblGrid>
      <w:tr w:rsidR="005133CD" w:rsidTr="00495EAC">
        <w:trPr>
          <w:cnfStyle w:val="100000000000"/>
        </w:trPr>
        <w:tc>
          <w:tcPr>
            <w:cnfStyle w:val="001000000000"/>
            <w:tcW w:w="14174" w:type="dxa"/>
            <w:gridSpan w:val="5"/>
            <w:tcBorders>
              <w:bottom w:val="single" w:sz="4" w:space="0" w:color="auto"/>
            </w:tcBorders>
          </w:tcPr>
          <w:p w:rsidR="005133CD" w:rsidRDefault="000C6924" w:rsidP="00252354">
            <w:r w:rsidRPr="00CC6E49">
              <w:rPr>
                <w:sz w:val="28"/>
                <w:szCs w:val="28"/>
              </w:rPr>
              <w:t xml:space="preserve">SUMMARY </w:t>
            </w:r>
            <w:r>
              <w:rPr>
                <w:sz w:val="28"/>
                <w:szCs w:val="28"/>
              </w:rPr>
              <w:t xml:space="preserve">OPPORTUNITIES/OBJECTIVES/POLICY APPROACHES </w:t>
            </w:r>
            <w:r w:rsidRPr="00CC6E49">
              <w:rPr>
                <w:sz w:val="28"/>
                <w:szCs w:val="28"/>
              </w:rPr>
              <w:t xml:space="preserve"> for WINDSOR    NEIGHBOURHOOD PLAN</w:t>
            </w:r>
          </w:p>
        </w:tc>
      </w:tr>
      <w:tr w:rsidR="00755A57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424B20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755A57" w:rsidP="00755A57">
            <w:pPr>
              <w:cnfStyle w:val="000000100000"/>
            </w:pPr>
            <w:r>
              <w:t>Open Space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755A57" w:rsidP="005133CD">
            <w:pPr>
              <w:pStyle w:val="ListParagraph"/>
              <w:cnfStyle w:val="000000100000"/>
            </w:pPr>
            <w:r>
              <w:t>Business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755A57" w:rsidP="00755A57">
            <w:pPr>
              <w:ind w:left="360"/>
              <w:cnfStyle w:val="000000100000"/>
            </w:pPr>
            <w:r>
              <w:t>Institutional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755A57" w:rsidP="005133CD">
            <w:pPr>
              <w:pStyle w:val="ListParagraph"/>
              <w:cnfStyle w:val="000000100000"/>
            </w:pPr>
            <w:r>
              <w:t>Sports &amp; Leisure</w:t>
            </w:r>
          </w:p>
        </w:tc>
      </w:tr>
      <w:tr w:rsidR="00755A57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252354">
            <w:r>
              <w:t>Area 2 Central Inner Windsor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5" w:rsidRDefault="00713BD5" w:rsidP="00713BD5">
            <w:pPr>
              <w:pStyle w:val="NoSpacing"/>
              <w:cnfStyle w:val="000000000000"/>
            </w:pPr>
            <w:r>
              <w:t>Design policies for new development</w:t>
            </w:r>
          </w:p>
          <w:p w:rsidR="00713BD5" w:rsidRDefault="00713BD5" w:rsidP="00713BD5">
            <w:pPr>
              <w:pStyle w:val="NoSpacing"/>
              <w:cnfStyle w:val="000000000000"/>
            </w:pPr>
            <w:r>
              <w:t xml:space="preserve">Designation of private green spaces </w:t>
            </w:r>
            <w:r>
              <w:lastRenderedPageBreak/>
              <w:t>as “open space</w:t>
            </w:r>
            <w:proofErr w:type="gramStart"/>
            <w:r>
              <w:t>” ?</w:t>
            </w:r>
            <w:proofErr w:type="gramEnd"/>
          </w:p>
          <w:p w:rsidR="00713BD5" w:rsidRDefault="00713BD5" w:rsidP="00713BD5">
            <w:pPr>
              <w:pStyle w:val="NoSpacing"/>
              <w:cnfStyle w:val="000000000000"/>
            </w:pPr>
            <w:r>
              <w:t>New development to provide green boundaries where possible and plant trees.</w:t>
            </w:r>
          </w:p>
          <w:p w:rsidR="00713BD5" w:rsidRDefault="00713BD5" w:rsidP="00713BD5">
            <w:pPr>
              <w:pStyle w:val="NoSpacing"/>
              <w:cnfStyle w:val="000000000000"/>
            </w:pPr>
            <w:r>
              <w:t>Landscape maintenance plans to be in place.</w:t>
            </w:r>
          </w:p>
          <w:p w:rsidR="00713BD5" w:rsidRDefault="00713BD5" w:rsidP="00713BD5">
            <w:pPr>
              <w:pStyle w:val="NoSpacing"/>
              <w:cnfStyle w:val="000000000000"/>
            </w:pPr>
            <w:r>
              <w:t>Identify and protect important trees.  Replacement of trees removed for development</w:t>
            </w:r>
          </w:p>
          <w:p w:rsidR="00713BD5" w:rsidRDefault="00713BD5" w:rsidP="00713BD5">
            <w:pPr>
              <w:pStyle w:val="NoSpacing"/>
              <w:cnfStyle w:val="000000000000"/>
            </w:pPr>
            <w:r>
              <w:t>New street trees on entries to town where possible.</w:t>
            </w:r>
          </w:p>
          <w:p w:rsidR="005133CD" w:rsidRDefault="00713BD5" w:rsidP="00713BD5">
            <w:pPr>
              <w:cnfStyle w:val="000000000000"/>
            </w:pPr>
            <w:r>
              <w:rPr>
                <w:rFonts w:ascii="Calibri" w:eastAsia="Calibri" w:hAnsi="Calibri" w:cs="Times New Roman"/>
              </w:rPr>
              <w:t>Streetscape plan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5" w:rsidRDefault="00713BD5" w:rsidP="00713BD5">
            <w:pPr>
              <w:pStyle w:val="NoSpacing"/>
              <w:cnfStyle w:val="000000000000"/>
            </w:pPr>
            <w:r>
              <w:lastRenderedPageBreak/>
              <w:t xml:space="preserve">Encourage the development of businesses suitable for the </w:t>
            </w:r>
            <w:r>
              <w:lastRenderedPageBreak/>
              <w:t>area.</w:t>
            </w:r>
          </w:p>
          <w:p w:rsidR="00713BD5" w:rsidRDefault="00713BD5" w:rsidP="00713BD5">
            <w:pPr>
              <w:pStyle w:val="NoSpacing"/>
              <w:cnfStyle w:val="000000000000"/>
            </w:pPr>
          </w:p>
          <w:p w:rsidR="005133CD" w:rsidRDefault="00713BD5" w:rsidP="00713BD5">
            <w:pPr>
              <w:cnfStyle w:val="000000000000"/>
            </w:pPr>
            <w:r>
              <w:rPr>
                <w:rFonts w:ascii="Calibri" w:eastAsia="Calibri" w:hAnsi="Calibri" w:cs="Times New Roman"/>
              </w:rPr>
              <w:t>Where the loss of a pub (or other key local facility?) is proposed the developer to prove that that there is no viable continuing business or institutional use.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713BD5" w:rsidP="00252354">
            <w:pPr>
              <w:cnfStyle w:val="000000000000"/>
            </w:pPr>
            <w:r>
              <w:lastRenderedPageBreak/>
              <w:t>None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3" w:rsidRDefault="00FD2554" w:rsidP="00252354">
            <w:pPr>
              <w:cnfStyle w:val="000000000000"/>
            </w:pPr>
            <w:r>
              <w:rPr>
                <w:rFonts w:ascii="Calibri" w:eastAsia="Calibri" w:hAnsi="Calibri" w:cs="Times New Roman"/>
              </w:rPr>
              <w:t>S</w:t>
            </w:r>
            <w:r w:rsidR="00713BD5">
              <w:rPr>
                <w:rFonts w:ascii="Calibri" w:eastAsia="Calibri" w:hAnsi="Calibri" w:cs="Times New Roman"/>
              </w:rPr>
              <w:t xml:space="preserve">ports or leisure facilities lost through development to be </w:t>
            </w:r>
            <w:r w:rsidR="00713BD5">
              <w:rPr>
                <w:rFonts w:ascii="Calibri" w:eastAsia="Calibri" w:hAnsi="Calibri" w:cs="Times New Roman"/>
              </w:rPr>
              <w:lastRenderedPageBreak/>
              <w:t>replaced.</w:t>
            </w:r>
          </w:p>
        </w:tc>
      </w:tr>
      <w:tr w:rsidR="00755A57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252354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952FD6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952FD6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952FD6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CD" w:rsidRDefault="005133CD" w:rsidP="00252354">
            <w:pPr>
              <w:cnfStyle w:val="000000100000"/>
            </w:pPr>
          </w:p>
        </w:tc>
      </w:tr>
      <w:tr w:rsidR="00952FD6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1D3288" w:rsidP="00252354">
            <w:r>
              <w:t xml:space="preserve">Area 1 Southern Central </w:t>
            </w:r>
            <w:proofErr w:type="spellStart"/>
            <w:r>
              <w:t>Boltons</w:t>
            </w:r>
            <w:proofErr w:type="spellEnd"/>
            <w:r>
              <w:t xml:space="preserve"> etc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</w:t>
            </w:r>
            <w:r w:rsidRPr="0072176E">
              <w:rPr>
                <w:sz w:val="20"/>
                <w:szCs w:val="20"/>
              </w:rPr>
              <w:t xml:space="preserve"> Facilities</w:t>
            </w:r>
            <w:r>
              <w:rPr>
                <w:sz w:val="20"/>
                <w:szCs w:val="20"/>
              </w:rPr>
              <w:t xml:space="preserve"> </w:t>
            </w:r>
            <w:r w:rsidR="00482F19">
              <w:rPr>
                <w:sz w:val="20"/>
                <w:szCs w:val="20"/>
              </w:rPr>
              <w:t xml:space="preserve">of open areas </w:t>
            </w:r>
            <w:r>
              <w:rPr>
                <w:sz w:val="20"/>
                <w:szCs w:val="20"/>
              </w:rPr>
              <w:t>e.g. Outdoor Gym.</w:t>
            </w:r>
          </w:p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</w:p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  <w:r w:rsidRPr="00721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Policies </w:t>
            </w:r>
            <w:r w:rsidRPr="0072176E">
              <w:rPr>
                <w:sz w:val="20"/>
                <w:szCs w:val="20"/>
              </w:rPr>
              <w:t xml:space="preserve">for Wood close open areas? </w:t>
            </w:r>
          </w:p>
          <w:p w:rsidR="00952FD6" w:rsidRDefault="00952FD6" w:rsidP="006440C9">
            <w:pPr>
              <w:cnfStyle w:val="000000000000"/>
            </w:pPr>
            <w:r>
              <w:rPr>
                <w:sz w:val="20"/>
                <w:szCs w:val="20"/>
              </w:rPr>
              <w:t>Maintenance plans?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  <w:r w:rsidRPr="0072176E">
              <w:rPr>
                <w:sz w:val="20"/>
                <w:szCs w:val="20"/>
              </w:rPr>
              <w:t>Design br</w:t>
            </w:r>
            <w:r w:rsidR="00FD2554">
              <w:rPr>
                <w:sz w:val="20"/>
                <w:szCs w:val="20"/>
              </w:rPr>
              <w:t>iefs for the Texaco garage site</w:t>
            </w:r>
            <w:r w:rsidRPr="0072176E">
              <w:rPr>
                <w:sz w:val="20"/>
                <w:szCs w:val="20"/>
              </w:rPr>
              <w:t xml:space="preserve"> &amp; Fawn </w:t>
            </w:r>
          </w:p>
          <w:p w:rsidR="00952FD6" w:rsidRDefault="00952FD6" w:rsidP="006440C9">
            <w:pPr>
              <w:cnfStyle w:val="000000000000"/>
            </w:pPr>
            <w:r>
              <w:rPr>
                <w:sz w:val="20"/>
                <w:szCs w:val="20"/>
              </w:rPr>
              <w:t>Allow ho</w:t>
            </w:r>
            <w:r w:rsidR="00FD2554">
              <w:rPr>
                <w:sz w:val="20"/>
                <w:szCs w:val="20"/>
              </w:rPr>
              <w:t xml:space="preserve">using to change to business use </w:t>
            </w:r>
            <w:r>
              <w:rPr>
                <w:sz w:val="20"/>
                <w:szCs w:val="20"/>
              </w:rPr>
              <w:t>&amp; Use class orders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  <w:r w:rsidRPr="0072176E">
              <w:rPr>
                <w:sz w:val="20"/>
                <w:szCs w:val="20"/>
              </w:rPr>
              <w:t xml:space="preserve">Design Brief for </w:t>
            </w:r>
            <w:proofErr w:type="spellStart"/>
            <w:r w:rsidRPr="0072176E">
              <w:rPr>
                <w:sz w:val="20"/>
                <w:szCs w:val="20"/>
              </w:rPr>
              <w:t>Brigidine</w:t>
            </w:r>
            <w:proofErr w:type="spellEnd"/>
            <w:r w:rsidRPr="0072176E">
              <w:rPr>
                <w:sz w:val="20"/>
                <w:szCs w:val="20"/>
              </w:rPr>
              <w:t xml:space="preserve"> site</w:t>
            </w:r>
            <w:r w:rsidR="00FD2554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TA centre</w:t>
            </w:r>
            <w:r w:rsidRPr="0072176E">
              <w:rPr>
                <w:sz w:val="20"/>
                <w:szCs w:val="20"/>
              </w:rPr>
              <w:t>.</w:t>
            </w:r>
          </w:p>
          <w:p w:rsidR="00952FD6" w:rsidRDefault="00952FD6" w:rsidP="006440C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on- site parking provision at Institutions/offices.</w:t>
            </w:r>
          </w:p>
          <w:p w:rsidR="00952FD6" w:rsidRDefault="00952FD6" w:rsidP="006440C9">
            <w:pPr>
              <w:cnfStyle w:val="000000000000"/>
            </w:pPr>
            <w:r>
              <w:rPr>
                <w:sz w:val="20"/>
                <w:szCs w:val="20"/>
              </w:rPr>
              <w:t>Extra p</w:t>
            </w:r>
            <w:r w:rsidR="00FD2554">
              <w:rPr>
                <w:sz w:val="20"/>
                <w:szCs w:val="20"/>
              </w:rPr>
              <w:t>arking floor at King Edward VII Hospital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6440C9">
            <w:pPr>
              <w:cnfStyle w:val="000000000000"/>
            </w:pPr>
            <w:r>
              <w:rPr>
                <w:sz w:val="20"/>
                <w:szCs w:val="20"/>
              </w:rPr>
              <w:t>Seek specific site improvements at Stag Meadow such as car parking surfaces. Cycle path access.</w:t>
            </w:r>
          </w:p>
        </w:tc>
      </w:tr>
      <w:tr w:rsidR="00952FD6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6440C9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252354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 xml:space="preserve">Area 3a.b.c. </w:t>
            </w:r>
            <w:proofErr w:type="spellStart"/>
            <w:r>
              <w:t>Clewer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 xml:space="preserve">Policy on retaining existing planning   open spaces and site-specific recreation facilities  </w:t>
            </w:r>
          </w:p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>Open Space “projects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 xml:space="preserve">Support for small/independent businesses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 xml:space="preserve">Identifying possible sites for schools                               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2F5605" w:rsidRDefault="002F5605" w:rsidP="004A17DF">
            <w:pPr>
              <w:cnfStyle w:val="000000000000"/>
              <w:rPr>
                <w:bCs/>
              </w:rPr>
            </w:pPr>
            <w:r w:rsidRPr="002F5605">
              <w:rPr>
                <w:bCs/>
              </w:rPr>
              <w:t>Protection for community policy</w:t>
            </w: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 xml:space="preserve">Area 4 Southern outer Suburbs  St Leonards Hill, </w:t>
            </w:r>
            <w:proofErr w:type="spellStart"/>
            <w:r>
              <w:t>Ilingworth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C95285" w:rsidRDefault="002F5605" w:rsidP="001646B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 pedestrian crossing so residents can safely cross W Rd to access Windsor GP</w:t>
            </w:r>
          </w:p>
          <w:p w:rsidR="002F5605" w:rsidRPr="00C95285" w:rsidRDefault="002F5605" w:rsidP="001646BB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252354">
            <w:pPr>
              <w:cnfStyle w:val="0000000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0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0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000000"/>
            </w:pP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440C9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</w:tr>
      <w:tr w:rsidR="002F5605" w:rsidTr="00424B20">
        <w:trPr>
          <w:trHeight w:val="337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>Area 5 –Western Outer suburbs (</w:t>
            </w:r>
            <w:proofErr w:type="spellStart"/>
            <w:r>
              <w:t>Dedworth</w:t>
            </w:r>
            <w:proofErr w:type="spellEnd"/>
            <w:r>
              <w:t xml:space="preserve"> a. Vale </w:t>
            </w:r>
            <w:r>
              <w:lastRenderedPageBreak/>
              <w:t xml:space="preserve">Road to Smiths Lane  b. Smiths Lane to </w:t>
            </w:r>
            <w:proofErr w:type="spellStart"/>
            <w:r>
              <w:t>Ruddlesway</w:t>
            </w:r>
            <w:proofErr w:type="spellEnd"/>
            <w:r>
              <w:t xml:space="preserve"> c. Tinkers Lane to </w:t>
            </w:r>
            <w:proofErr w:type="spellStart"/>
            <w:r>
              <w:t>Kentons</w:t>
            </w:r>
            <w:proofErr w:type="spellEnd"/>
            <w:r>
              <w:t xml:space="preserve"> Lane)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Schedule of open spaces to be preserved, with description of character as well as location.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Schedule of trees to be preserved.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Sponsor the provision of a pedestrian footbridge from Sutherland Grange to the Thames Path on the north bank of the river.</w:t>
            </w:r>
          </w:p>
          <w:p w:rsidR="002F5605" w:rsidRDefault="002F5605" w:rsidP="00A621C3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the allotment site existing land use category.</w:t>
            </w:r>
          </w:p>
          <w:p w:rsidR="002F5605" w:rsidRDefault="002F5605" w:rsidP="00A621C3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</w:p>
          <w:p w:rsidR="002F5605" w:rsidRDefault="002F5605" w:rsidP="00A621C3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</w:p>
          <w:p w:rsidR="002F5605" w:rsidRPr="0072176E" w:rsidRDefault="002F5605" w:rsidP="00A621C3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Confirm the designation of Tesco as a food retail site.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 xml:space="preserve">Identify &amp; promote alternative local café opportunities, if </w:t>
            </w:r>
            <w:r w:rsidRPr="00A621C3">
              <w:rPr>
                <w:sz w:val="20"/>
                <w:szCs w:val="20"/>
              </w:rPr>
              <w:lastRenderedPageBreak/>
              <w:t>Wyevale or Squires Garden Centres were to close.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Identify the site for an additional medical centre.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Retain school land and playing fields for future needs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proofErr w:type="gramStart"/>
            <w:r w:rsidRPr="00A621C3">
              <w:rPr>
                <w:sz w:val="20"/>
                <w:szCs w:val="20"/>
              </w:rPr>
              <w:t>Provision of more high quality children’s play</w:t>
            </w:r>
            <w:proofErr w:type="gramEnd"/>
            <w:r w:rsidRPr="00A621C3">
              <w:rPr>
                <w:sz w:val="20"/>
                <w:szCs w:val="20"/>
              </w:rPr>
              <w:t xml:space="preserve"> facilities.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t>Outdoor gym at the Memorial Ground or at the NWCA</w:t>
            </w:r>
          </w:p>
          <w:p w:rsidR="002F5605" w:rsidRPr="00A621C3" w:rsidRDefault="002F5605" w:rsidP="00A621C3">
            <w:pPr>
              <w:ind w:left="34"/>
              <w:cnfStyle w:val="000000000000"/>
              <w:rPr>
                <w:sz w:val="20"/>
                <w:szCs w:val="20"/>
              </w:rPr>
            </w:pPr>
            <w:r w:rsidRPr="00A621C3">
              <w:rPr>
                <w:sz w:val="20"/>
                <w:szCs w:val="20"/>
              </w:rPr>
              <w:lastRenderedPageBreak/>
              <w:t>Provision of out of town parking, with bus route access, for town centre workers</w:t>
            </w: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 xml:space="preserve">Area 6. Green belt north of West Windsor (Racecourse, Sutherland grange, </w:t>
            </w:r>
            <w:proofErr w:type="spellStart"/>
            <w:r>
              <w:t>Clewer</w:t>
            </w:r>
            <w:proofErr w:type="spellEnd"/>
            <w:r>
              <w:t xml:space="preserve"> park, Centrica)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FD2554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a pedestrian / cycle access across the river at Sutherland Grange</w:t>
            </w:r>
          </w:p>
          <w:p w:rsidR="002F5605" w:rsidRDefault="002F5605" w:rsidP="000D2214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0D2214">
            <w:pPr>
              <w:cnfStyle w:val="000000000000"/>
              <w:rPr>
                <w:sz w:val="20"/>
                <w:szCs w:val="20"/>
              </w:rPr>
            </w:pPr>
          </w:p>
          <w:p w:rsidR="002F5605" w:rsidRDefault="002F5605" w:rsidP="000D2214">
            <w:pPr>
              <w:cnfStyle w:val="000000000000"/>
              <w:rPr>
                <w:sz w:val="20"/>
                <w:szCs w:val="20"/>
              </w:rPr>
            </w:pPr>
          </w:p>
          <w:p w:rsidR="002F5605" w:rsidRPr="0072176E" w:rsidRDefault="002F5605" w:rsidP="000D221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FD2554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FD2554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of inappropriate development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FD2554">
            <w:pPr>
              <w:pStyle w:val="ListParagraph"/>
              <w:ind w:left="17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of inappropriate development</w:t>
            </w: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 xml:space="preserve">Area 7  Great park Area south of Windsor (between Sheet St Rd &amp; </w:t>
            </w:r>
            <w:proofErr w:type="spellStart"/>
            <w:r>
              <w:t>Winkfield</w:t>
            </w:r>
            <w:proofErr w:type="spellEnd"/>
            <w:r>
              <w:t xml:space="preserve"> Rd)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47533D">
            <w:pPr>
              <w:cnfStyle w:val="000000000000"/>
              <w:rPr>
                <w:sz w:val="20"/>
                <w:szCs w:val="20"/>
              </w:rPr>
            </w:pPr>
            <w:r w:rsidRPr="00924AFB">
              <w:rPr>
                <w:sz w:val="20"/>
                <w:szCs w:val="20"/>
              </w:rPr>
              <w:t xml:space="preserve">Provide accessible toilet facilities in the </w:t>
            </w:r>
            <w:proofErr w:type="gramStart"/>
            <w:r w:rsidRPr="00924AFB">
              <w:rPr>
                <w:sz w:val="20"/>
                <w:szCs w:val="20"/>
              </w:rPr>
              <w:t>park(</w:t>
            </w:r>
            <w:proofErr w:type="gramEnd"/>
            <w:r w:rsidRPr="00924AFB">
              <w:rPr>
                <w:sz w:val="20"/>
                <w:szCs w:val="20"/>
              </w:rPr>
              <w:t>near gate houses?)</w:t>
            </w:r>
          </w:p>
          <w:p w:rsidR="002F5605" w:rsidRDefault="002F5605" w:rsidP="0047533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access to Public areas of park from </w:t>
            </w:r>
            <w:proofErr w:type="spellStart"/>
            <w:r>
              <w:rPr>
                <w:sz w:val="20"/>
                <w:szCs w:val="20"/>
              </w:rPr>
              <w:t>Winkfield</w:t>
            </w:r>
            <w:proofErr w:type="spellEnd"/>
            <w:r>
              <w:rPr>
                <w:sz w:val="20"/>
                <w:szCs w:val="20"/>
              </w:rPr>
              <w:t xml:space="preserve"> Road side (</w:t>
            </w:r>
            <w:proofErr w:type="spellStart"/>
            <w:r>
              <w:rPr>
                <w:sz w:val="20"/>
                <w:szCs w:val="20"/>
              </w:rPr>
              <w:t>thorugh</w:t>
            </w:r>
            <w:proofErr w:type="spellEnd"/>
            <w:r>
              <w:rPr>
                <w:sz w:val="20"/>
                <w:szCs w:val="20"/>
              </w:rPr>
              <w:t xml:space="preserve"> private park areas. Is this possible?)</w:t>
            </w:r>
          </w:p>
          <w:p w:rsidR="002F5605" w:rsidRDefault="002F5605" w:rsidP="0047533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F5605" w:rsidRPr="00924AFB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924AFB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924AFB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924AFB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F5605" w:rsidTr="00424B20">
        <w:trPr>
          <w:cnfStyle w:val="000000100000"/>
        </w:trPr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/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252354">
            <w:pPr>
              <w:cnfStyle w:val="000000100000"/>
            </w:pPr>
          </w:p>
        </w:tc>
      </w:tr>
      <w:tr w:rsidR="002F5605" w:rsidTr="00424B20">
        <w:tc>
          <w:tcPr>
            <w:cnfStyle w:val="00100000000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2F5605" w:rsidP="006F67C6">
            <w:r>
              <w:t>Area 8-Legoland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Default="00434648" w:rsidP="00362BF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Covered under the BLP Green Belt policies so </w:t>
            </w: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not within NP scope. (</w:t>
            </w:r>
            <w:proofErr w:type="spellStart"/>
            <w:r>
              <w:rPr>
                <w:sz w:val="20"/>
                <w:szCs w:val="20"/>
              </w:rPr>
              <w:t>E.g.</w:t>
            </w:r>
            <w:r w:rsidR="002F5605">
              <w:rPr>
                <w:sz w:val="20"/>
                <w:szCs w:val="20"/>
              </w:rPr>
              <w:t>Density</w:t>
            </w:r>
            <w:proofErr w:type="spellEnd"/>
            <w:r w:rsidR="002F5605">
              <w:rPr>
                <w:sz w:val="20"/>
                <w:szCs w:val="20"/>
              </w:rPr>
              <w:t>/Design policies to establish amount of open space that can be built on.  How much is allowed</w:t>
            </w:r>
            <w:r>
              <w:rPr>
                <w:sz w:val="20"/>
                <w:szCs w:val="20"/>
              </w:rPr>
              <w:t xml:space="preserve"> under Green Belt</w:t>
            </w:r>
            <w:r w:rsidR="002F560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</w:p>
          <w:p w:rsidR="002F5605" w:rsidRDefault="002F5605" w:rsidP="00362BFD">
            <w:pPr>
              <w:cnfStyle w:val="000000000000"/>
              <w:rPr>
                <w:sz w:val="20"/>
                <w:szCs w:val="20"/>
              </w:rPr>
            </w:pPr>
          </w:p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5" w:rsidRPr="0072176E" w:rsidRDefault="002F5605" w:rsidP="006F67C6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5133CD" w:rsidRDefault="005133CD"/>
    <w:sectPr w:rsidR="005133CD" w:rsidSect="00F31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19" w:rsidRDefault="00482F19" w:rsidP="00482F19">
      <w:pPr>
        <w:spacing w:after="0" w:line="240" w:lineRule="auto"/>
      </w:pPr>
      <w:r>
        <w:separator/>
      </w:r>
    </w:p>
  </w:endnote>
  <w:endnote w:type="continuationSeparator" w:id="0">
    <w:p w:rsidR="00482F19" w:rsidRDefault="00482F19" w:rsidP="0048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EC" w:rsidRDefault="00FD5F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6322"/>
      <w:docPartObj>
        <w:docPartGallery w:val="Page Numbers (Bottom of Page)"/>
        <w:docPartUnique/>
      </w:docPartObj>
    </w:sdtPr>
    <w:sdtContent>
      <w:p w:rsidR="00FD5FEC" w:rsidRDefault="00FD5FEC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5FEC" w:rsidRDefault="00FD5F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EC" w:rsidRDefault="00FD5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19" w:rsidRDefault="00482F19" w:rsidP="00482F19">
      <w:pPr>
        <w:spacing w:after="0" w:line="240" w:lineRule="auto"/>
      </w:pPr>
      <w:r>
        <w:separator/>
      </w:r>
    </w:p>
  </w:footnote>
  <w:footnote w:type="continuationSeparator" w:id="0">
    <w:p w:rsidR="00482F19" w:rsidRDefault="00482F19" w:rsidP="0048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EC" w:rsidRDefault="00FD5F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60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DEAS ONL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EC" w:rsidRDefault="00FD5F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61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DEAS ONL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EC" w:rsidRDefault="00FD5F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59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DEAS ON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0A"/>
    <w:multiLevelType w:val="hybridMultilevel"/>
    <w:tmpl w:val="3E3A8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A88"/>
    <w:multiLevelType w:val="hybridMultilevel"/>
    <w:tmpl w:val="83FA7FB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D4A0656"/>
    <w:multiLevelType w:val="hybridMultilevel"/>
    <w:tmpl w:val="3E3A8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01A9"/>
    <w:multiLevelType w:val="hybridMultilevel"/>
    <w:tmpl w:val="D81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E30"/>
    <w:rsid w:val="00072C28"/>
    <w:rsid w:val="000C6924"/>
    <w:rsid w:val="001646BB"/>
    <w:rsid w:val="001D1B4E"/>
    <w:rsid w:val="001D3288"/>
    <w:rsid w:val="00223528"/>
    <w:rsid w:val="002F5605"/>
    <w:rsid w:val="0033694E"/>
    <w:rsid w:val="003510D9"/>
    <w:rsid w:val="00362BFD"/>
    <w:rsid w:val="003635D5"/>
    <w:rsid w:val="00386B8F"/>
    <w:rsid w:val="003C3B43"/>
    <w:rsid w:val="00424B20"/>
    <w:rsid w:val="00434648"/>
    <w:rsid w:val="004422E2"/>
    <w:rsid w:val="0047533D"/>
    <w:rsid w:val="00482F19"/>
    <w:rsid w:val="00495EAC"/>
    <w:rsid w:val="005133CD"/>
    <w:rsid w:val="005165E8"/>
    <w:rsid w:val="005F3DD4"/>
    <w:rsid w:val="006E4DFC"/>
    <w:rsid w:val="00713BD5"/>
    <w:rsid w:val="00755A57"/>
    <w:rsid w:val="007D69F7"/>
    <w:rsid w:val="00805DE3"/>
    <w:rsid w:val="008B502C"/>
    <w:rsid w:val="00910F44"/>
    <w:rsid w:val="00917926"/>
    <w:rsid w:val="00952FD6"/>
    <w:rsid w:val="00A621C3"/>
    <w:rsid w:val="00B81AC7"/>
    <w:rsid w:val="00CA04ED"/>
    <w:rsid w:val="00CC6E49"/>
    <w:rsid w:val="00CF3D63"/>
    <w:rsid w:val="00D76DE9"/>
    <w:rsid w:val="00D94AA1"/>
    <w:rsid w:val="00DD4A05"/>
    <w:rsid w:val="00DF6D09"/>
    <w:rsid w:val="00E55546"/>
    <w:rsid w:val="00F31E30"/>
    <w:rsid w:val="00F3559B"/>
    <w:rsid w:val="00FD2554"/>
    <w:rsid w:val="00FD5FEC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E30"/>
    <w:pPr>
      <w:ind w:left="720"/>
      <w:contextualSpacing/>
    </w:pPr>
  </w:style>
  <w:style w:type="paragraph" w:styleId="NoSpacing">
    <w:name w:val="No Spacing"/>
    <w:uiPriority w:val="1"/>
    <w:qFormat/>
    <w:rsid w:val="00755A57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1">
    <w:name w:val="Light Shading Accent 1"/>
    <w:basedOn w:val="TableNormal"/>
    <w:uiPriority w:val="60"/>
    <w:rsid w:val="00952F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82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F19"/>
  </w:style>
  <w:style w:type="paragraph" w:styleId="Footer">
    <w:name w:val="footer"/>
    <w:basedOn w:val="Normal"/>
    <w:link w:val="FooterChar"/>
    <w:uiPriority w:val="99"/>
    <w:unhideWhenUsed/>
    <w:rsid w:val="00482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CF67-609B-4727-8055-9FF4DFB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18</cp:revision>
  <dcterms:created xsi:type="dcterms:W3CDTF">2015-01-12T16:11:00Z</dcterms:created>
  <dcterms:modified xsi:type="dcterms:W3CDTF">2015-02-16T10:57:00Z</dcterms:modified>
</cp:coreProperties>
</file>